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sz w:val="50"/>
          <w:szCs w:val="50"/>
        </w:rPr>
      </w:pPr>
      <w:r w:rsidDel="00000000" w:rsidR="00000000" w:rsidRPr="00000000">
        <w:rPr>
          <w:rFonts w:ascii="Roboto" w:cs="Roboto" w:eastAsia="Roboto" w:hAnsi="Roboto"/>
          <w:sz w:val="50"/>
          <w:szCs w:val="50"/>
          <w:rtl w:val="0"/>
        </w:rPr>
        <w:t xml:space="preserve">Stručný návod – Doporučení Bambusáře</w:t>
      </w:r>
    </w:p>
    <w:p w:rsidR="00000000" w:rsidDel="00000000" w:rsidP="00000000" w:rsidRDefault="00000000" w:rsidRPr="00000000" w14:paraId="0000000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3">
      <w:pPr>
        <w:rPr>
          <w:rFonts w:ascii="Arial" w:cs="Arial" w:eastAsia="Arial" w:hAnsi="Arial"/>
          <w:sz w:val="18"/>
          <w:szCs w:val="18"/>
        </w:rPr>
      </w:pPr>
      <w:r w:rsidDel="00000000" w:rsidR="00000000" w:rsidRPr="00000000">
        <w:rPr>
          <w:rFonts w:ascii="Arial" w:cs="Arial" w:eastAsia="Arial" w:hAnsi="Arial"/>
          <w:sz w:val="18"/>
          <w:szCs w:val="18"/>
          <w:rtl w:val="0"/>
        </w:rPr>
        <w:t xml:space="preserve">Tablety používáme </w:t>
      </w:r>
      <w:r w:rsidDel="00000000" w:rsidR="00000000" w:rsidRPr="00000000">
        <w:rPr>
          <w:rFonts w:ascii="Arial" w:cs="Arial" w:eastAsia="Arial" w:hAnsi="Arial"/>
          <w:b w:val="1"/>
          <w:sz w:val="18"/>
          <w:szCs w:val="18"/>
          <w:rtl w:val="0"/>
        </w:rPr>
        <w:t xml:space="preserve">od března do konce července</w:t>
      </w:r>
      <w:r w:rsidDel="00000000" w:rsidR="00000000" w:rsidRPr="00000000">
        <w:rPr>
          <w:rFonts w:ascii="Arial" w:cs="Arial" w:eastAsia="Arial" w:hAnsi="Arial"/>
          <w:sz w:val="18"/>
          <w:szCs w:val="18"/>
          <w:rtl w:val="0"/>
        </w:rPr>
        <w:t xml:space="preserve">, později ne.</w:t>
      </w:r>
    </w:p>
    <w:p w:rsidR="00000000" w:rsidDel="00000000" w:rsidP="00000000" w:rsidRDefault="00000000" w:rsidRPr="00000000" w14:paraId="00000004">
      <w:pPr>
        <w:pStyle w:val="Heading1"/>
        <w:rPr/>
      </w:pPr>
      <w:r w:rsidDel="00000000" w:rsidR="00000000" w:rsidRPr="00000000">
        <w:rPr>
          <w:rtl w:val="0"/>
        </w:rPr>
        <w:t xml:space="preserve">Fargesie</w:t>
      </w:r>
    </w:p>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Cca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4 tablety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na sazenici v 5-litrovém květináči</w:t>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w:t>
      </w:r>
      <w:r w:rsidDel="00000000" w:rsidR="00000000" w:rsidRPr="00000000">
        <w:rPr>
          <w:rFonts w:ascii="Arial" w:cs="Arial" w:eastAsia="Arial" w:hAnsi="Arial"/>
          <w:b w:val="1"/>
          <w:sz w:val="18"/>
          <w:szCs w:val="18"/>
          <w:rtl w:val="0"/>
        </w:rPr>
        <w:t xml:space="preserve"> - 2</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tablet</w:t>
      </w:r>
      <w:r w:rsidDel="00000000" w:rsidR="00000000" w:rsidRPr="00000000">
        <w:rPr>
          <w:rFonts w:ascii="Arial" w:cs="Arial" w:eastAsia="Arial" w:hAnsi="Arial"/>
          <w:b w:val="1"/>
          <w:sz w:val="18"/>
          <w:szCs w:val="18"/>
          <w:rtl w:val="0"/>
        </w:rPr>
        <w:t xml:space="preserve">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dejte při sázení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pod kořenový bal sazenice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zbylé tablety nahoru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 kraj kořenového balu</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po obvodu sazenice, tablety jen lehce zamáčkněte do země, aby nekoukaly</w:t>
      </w:r>
      <w:r w:rsidDel="00000000" w:rsidR="00000000" w:rsidRPr="00000000">
        <w:rPr>
          <w:rtl w:val="0"/>
        </w:rPr>
      </w:r>
    </w:p>
    <w:p w:rsidR="00000000" w:rsidDel="00000000" w:rsidP="00000000" w:rsidRDefault="00000000" w:rsidRPr="00000000" w14:paraId="00000007">
      <w:pPr>
        <w:pStyle w:val="Heading1"/>
        <w:rPr/>
      </w:pPr>
      <w:r w:rsidDel="00000000" w:rsidR="00000000" w:rsidRPr="00000000">
        <w:rPr>
          <w:rtl w:val="0"/>
        </w:rPr>
        <w:t xml:space="preserve">Phyllostachysy</w:t>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Cca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6 tablet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na sazenici v 5-litrovém květináči</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 tablety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dejte při sázení</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pod kořenový bal sazenice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zbylé tablety nahoru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 kraj kořenového balu</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po obvodu sazenice, tablety jen lehce zamáčkněte do země, aby nekoukaly</w:t>
      </w:r>
    </w:p>
    <w:p w:rsidR="00000000" w:rsidDel="00000000" w:rsidP="00000000" w:rsidRDefault="00000000" w:rsidRPr="00000000" w14:paraId="0000000A">
      <w:pPr>
        <w:pStyle w:val="Title"/>
        <w:rPr>
          <w:sz w:val="46"/>
          <w:szCs w:val="46"/>
        </w:rPr>
      </w:pPr>
      <w:r w:rsidDel="00000000" w:rsidR="00000000" w:rsidRPr="00000000">
        <w:rPr>
          <w:rtl w:val="0"/>
        </w:rPr>
      </w:r>
    </w:p>
    <w:p w:rsidR="00000000" w:rsidDel="00000000" w:rsidP="00000000" w:rsidRDefault="00000000" w:rsidRPr="00000000" w14:paraId="0000000B">
      <w:pPr>
        <w:pStyle w:val="Title"/>
        <w:rPr>
          <w:rFonts w:ascii="Roboto" w:cs="Roboto" w:eastAsia="Roboto" w:hAnsi="Roboto"/>
          <w:sz w:val="44"/>
          <w:szCs w:val="44"/>
        </w:rPr>
      </w:pPr>
      <w:r w:rsidDel="00000000" w:rsidR="00000000" w:rsidRPr="00000000">
        <w:rPr>
          <w:rFonts w:ascii="Roboto" w:cs="Roboto" w:eastAsia="Roboto" w:hAnsi="Roboto"/>
          <w:sz w:val="44"/>
          <w:szCs w:val="44"/>
          <w:rtl w:val="0"/>
        </w:rPr>
        <w:t xml:space="preserve">Základní specifikace hnojiva SILVAMIX FORTE 60, tablety</w:t>
      </w:r>
    </w:p>
    <w:p w:rsidR="00000000" w:rsidDel="00000000" w:rsidP="00000000" w:rsidRDefault="00000000" w:rsidRPr="00000000" w14:paraId="0000000C">
      <w:pPr>
        <w:numPr>
          <w:ilvl w:val="0"/>
          <w:numId w:val="1"/>
        </w:numPr>
        <w:shd w:fill="ffffff" w:val="clear"/>
        <w:spacing w:after="0" w:before="280" w:lineRule="auto"/>
        <w:ind w:left="85"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Směsné hnojivo NPK (MgO) 17,5-17,5-10,5-(9)</w:t>
      </w:r>
    </w:p>
    <w:p w:rsidR="00000000" w:rsidDel="00000000" w:rsidP="00000000" w:rsidRDefault="00000000" w:rsidRPr="00000000" w14:paraId="0000000D">
      <w:pPr>
        <w:numPr>
          <w:ilvl w:val="0"/>
          <w:numId w:val="1"/>
        </w:numPr>
        <w:shd w:fill="ffffff" w:val="clear"/>
        <w:spacing w:after="0" w:before="0" w:lineRule="auto"/>
        <w:ind w:left="85"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60% celkového dusíku z ureaformu</w:t>
      </w:r>
    </w:p>
    <w:p w:rsidR="00000000" w:rsidDel="00000000" w:rsidP="00000000" w:rsidRDefault="00000000" w:rsidRPr="00000000" w14:paraId="0000000E">
      <w:pPr>
        <w:numPr>
          <w:ilvl w:val="0"/>
          <w:numId w:val="1"/>
        </w:numPr>
        <w:shd w:fill="ffffff" w:val="clear"/>
        <w:spacing w:after="0" w:before="0" w:lineRule="auto"/>
        <w:ind w:left="85"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Princip: ureaform, fosfáty draselno-hořečnaté</w:t>
      </w:r>
    </w:p>
    <w:p w:rsidR="00000000" w:rsidDel="00000000" w:rsidP="00000000" w:rsidRDefault="00000000" w:rsidRPr="00000000" w14:paraId="0000000F">
      <w:pPr>
        <w:numPr>
          <w:ilvl w:val="0"/>
          <w:numId w:val="1"/>
        </w:numPr>
        <w:shd w:fill="ffffff" w:val="clear"/>
        <w:spacing w:after="0" w:before="0" w:lineRule="auto"/>
        <w:ind w:left="85"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Barva: béžová</w:t>
      </w:r>
    </w:p>
    <w:p w:rsidR="00000000" w:rsidDel="00000000" w:rsidP="00000000" w:rsidRDefault="00000000" w:rsidRPr="00000000" w14:paraId="00000010">
      <w:pPr>
        <w:numPr>
          <w:ilvl w:val="0"/>
          <w:numId w:val="1"/>
        </w:numPr>
        <w:shd w:fill="ffffff" w:val="clear"/>
        <w:spacing w:after="0" w:before="0" w:lineRule="auto"/>
        <w:ind w:left="85"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Forma: tablety</w:t>
      </w:r>
    </w:p>
    <w:p w:rsidR="00000000" w:rsidDel="00000000" w:rsidP="00000000" w:rsidRDefault="00000000" w:rsidRPr="00000000" w14:paraId="00000011">
      <w:pPr>
        <w:numPr>
          <w:ilvl w:val="0"/>
          <w:numId w:val="1"/>
        </w:numPr>
        <w:shd w:fill="ffffff" w:val="clear"/>
        <w:spacing w:after="0" w:before="0" w:lineRule="auto"/>
        <w:ind w:left="85"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Hmotnost 1 ks tablety: 10 g</w:t>
      </w:r>
    </w:p>
    <w:p w:rsidR="00000000" w:rsidDel="00000000" w:rsidP="00000000" w:rsidRDefault="00000000" w:rsidRPr="00000000" w14:paraId="00000012">
      <w:pPr>
        <w:numPr>
          <w:ilvl w:val="0"/>
          <w:numId w:val="1"/>
        </w:numPr>
        <w:shd w:fill="ffffff" w:val="clear"/>
        <w:spacing w:after="0" w:before="0" w:lineRule="auto"/>
        <w:ind w:left="85"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pH: neutrální až mírně alkalické</w:t>
      </w:r>
    </w:p>
    <w:p w:rsidR="00000000" w:rsidDel="00000000" w:rsidP="00000000" w:rsidRDefault="00000000" w:rsidRPr="00000000" w14:paraId="00000013">
      <w:pPr>
        <w:numPr>
          <w:ilvl w:val="0"/>
          <w:numId w:val="1"/>
        </w:numPr>
        <w:shd w:fill="ffffff" w:val="clear"/>
        <w:spacing w:after="0" w:before="0" w:lineRule="auto"/>
        <w:ind w:left="85"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Určení: individuální zásobní hnojení a přihnojování víceletých rostlin</w:t>
      </w:r>
      <w:r w:rsidDel="00000000" w:rsidR="00000000" w:rsidRPr="00000000">
        <w:drawing>
          <wp:anchor allowOverlap="1" behindDoc="0" distB="0" distT="0" distL="114300" distR="114300" hidden="0" layoutInCell="1" locked="0" relativeHeight="0" simplePos="0">
            <wp:simplePos x="0" y="0"/>
            <wp:positionH relativeFrom="column">
              <wp:posOffset>2969165</wp:posOffset>
            </wp:positionH>
            <wp:positionV relativeFrom="paragraph">
              <wp:posOffset>204268</wp:posOffset>
            </wp:positionV>
            <wp:extent cx="2919600" cy="954000"/>
            <wp:effectExtent b="0" l="0" r="0" t="0"/>
            <wp:wrapSquare wrapText="bothSides" distB="0" distT="0" distL="114300" distR="114300"/>
            <wp:docPr descr="Silvamix forte 60" id="8" name="image5.jpg"/>
            <a:graphic>
              <a:graphicData uri="http://schemas.openxmlformats.org/drawingml/2006/picture">
                <pic:pic>
                  <pic:nvPicPr>
                    <pic:cNvPr descr="Silvamix forte 60" id="0" name="image5.jpg"/>
                    <pic:cNvPicPr preferRelativeResize="0"/>
                  </pic:nvPicPr>
                  <pic:blipFill>
                    <a:blip r:embed="rId7"/>
                    <a:srcRect b="0" l="0" r="0" t="0"/>
                    <a:stretch>
                      <a:fillRect/>
                    </a:stretch>
                  </pic:blipFill>
                  <pic:spPr>
                    <a:xfrm>
                      <a:off x="0" y="0"/>
                      <a:ext cx="2919600" cy="954000"/>
                    </a:xfrm>
                    <a:prstGeom prst="rect"/>
                    <a:ln/>
                  </pic:spPr>
                </pic:pic>
              </a:graphicData>
            </a:graphic>
          </wp:anchor>
        </w:drawing>
      </w:r>
    </w:p>
    <w:p w:rsidR="00000000" w:rsidDel="00000000" w:rsidP="00000000" w:rsidRDefault="00000000" w:rsidRPr="00000000" w14:paraId="00000014">
      <w:pPr>
        <w:numPr>
          <w:ilvl w:val="0"/>
          <w:numId w:val="1"/>
        </w:numPr>
        <w:shd w:fill="ffffff" w:val="clear"/>
        <w:spacing w:after="0" w:before="0" w:lineRule="auto"/>
        <w:ind w:left="85"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Bezpečnost: netoxické, nehořlavé, nevýbušné</w:t>
      </w:r>
    </w:p>
    <w:p w:rsidR="00000000" w:rsidDel="00000000" w:rsidP="00000000" w:rsidRDefault="00000000" w:rsidRPr="00000000" w14:paraId="00000015">
      <w:pPr>
        <w:numPr>
          <w:ilvl w:val="0"/>
          <w:numId w:val="1"/>
        </w:numPr>
        <w:shd w:fill="ffffff" w:val="clear"/>
        <w:spacing w:after="0" w:before="0" w:lineRule="auto"/>
        <w:ind w:left="85"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Skladování: v suchu</w:t>
      </w:r>
    </w:p>
    <w:p w:rsidR="00000000" w:rsidDel="00000000" w:rsidP="00000000" w:rsidRDefault="00000000" w:rsidRPr="00000000" w14:paraId="00000016">
      <w:pPr>
        <w:numPr>
          <w:ilvl w:val="0"/>
          <w:numId w:val="1"/>
        </w:numPr>
        <w:shd w:fill="ffffff" w:val="clear"/>
        <w:spacing w:after="280" w:before="0" w:lineRule="auto"/>
        <w:ind w:left="85"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Postupné uvolňování živin po dobu minimálně dvou let</w:t>
      </w:r>
    </w:p>
    <w:p w:rsidR="00000000" w:rsidDel="00000000" w:rsidP="00000000" w:rsidRDefault="00000000" w:rsidRPr="00000000" w14:paraId="00000017">
      <w:pPr>
        <w:shd w:fill="ffffff" w:val="clear"/>
        <w:spacing w:after="180" w:before="240" w:lineRule="auto"/>
        <w:rPr>
          <w:rFonts w:ascii="Calibri" w:cs="Calibri" w:eastAsia="Calibri" w:hAnsi="Calibri"/>
          <w:color w:val="2a2b2f"/>
          <w:sz w:val="36"/>
          <w:szCs w:val="36"/>
        </w:rPr>
      </w:pPr>
      <w:r w:rsidDel="00000000" w:rsidR="00000000" w:rsidRPr="00000000">
        <w:rPr>
          <w:rFonts w:ascii="Calibri" w:cs="Calibri" w:eastAsia="Calibri" w:hAnsi="Calibri"/>
          <w:color w:val="2a2b2f"/>
          <w:sz w:val="36"/>
          <w:szCs w:val="36"/>
          <w:rtl w:val="0"/>
        </w:rPr>
        <w:t xml:space="preserve">Detailní popis hnojiva SILVAMIX FORTE 60, tablety</w:t>
      </w:r>
    </w:p>
    <w:p w:rsidR="00000000" w:rsidDel="00000000" w:rsidP="00000000" w:rsidRDefault="00000000" w:rsidRPr="00000000" w14:paraId="00000018">
      <w:pPr>
        <w:shd w:fill="ffffff" w:val="clear"/>
        <w:spacing w:after="180" w:before="240" w:lineRule="auto"/>
        <w:rPr>
          <w:rFonts w:ascii="Calibri" w:cs="Calibri" w:eastAsia="Calibri" w:hAnsi="Calibri"/>
          <w:color w:val="2a2b2f"/>
          <w:sz w:val="36"/>
          <w:szCs w:val="36"/>
        </w:rPr>
      </w:pPr>
      <w:r w:rsidDel="00000000" w:rsidR="00000000" w:rsidRPr="00000000">
        <w:rPr>
          <w:rFonts w:ascii="Calibri" w:cs="Calibri" w:eastAsia="Calibri" w:hAnsi="Calibri"/>
          <w:color w:val="2a2b2f"/>
          <w:sz w:val="36"/>
          <w:szCs w:val="36"/>
          <w:rtl w:val="0"/>
        </w:rPr>
        <w:t xml:space="preserve">TABLETY – IDEÁLNÍ FORMA PRO APLIKACI</w:t>
      </w:r>
    </w:p>
    <w:p w:rsidR="00000000" w:rsidDel="00000000" w:rsidP="00000000" w:rsidRDefault="00000000" w:rsidRPr="00000000" w14:paraId="00000019">
      <w:pPr>
        <w:numPr>
          <w:ilvl w:val="0"/>
          <w:numId w:val="2"/>
        </w:numPr>
        <w:shd w:fill="ffffff" w:val="clear"/>
        <w:spacing w:after="0" w:before="280" w:lineRule="auto"/>
        <w:ind w:left="85"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individuální výživa každé rostliny</w:t>
      </w:r>
    </w:p>
    <w:p w:rsidR="00000000" w:rsidDel="00000000" w:rsidP="00000000" w:rsidRDefault="00000000" w:rsidRPr="00000000" w14:paraId="0000001A">
      <w:pPr>
        <w:numPr>
          <w:ilvl w:val="0"/>
          <w:numId w:val="2"/>
        </w:numPr>
        <w:shd w:fill="ffffff" w:val="clear"/>
        <w:spacing w:after="0" w:before="0" w:lineRule="auto"/>
        <w:ind w:left="85"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maximální využití živin v dosahu kořenového systému</w:t>
      </w:r>
    </w:p>
    <w:p w:rsidR="00000000" w:rsidDel="00000000" w:rsidP="00000000" w:rsidRDefault="00000000" w:rsidRPr="00000000" w14:paraId="0000001B">
      <w:pPr>
        <w:numPr>
          <w:ilvl w:val="0"/>
          <w:numId w:val="2"/>
        </w:numPr>
        <w:shd w:fill="ffffff" w:val="clear"/>
        <w:spacing w:after="0" w:before="0" w:lineRule="auto"/>
        <w:ind w:left="85"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snadné dávkování – hmotnost každé tablety je 10 g</w:t>
      </w:r>
    </w:p>
    <w:p w:rsidR="00000000" w:rsidDel="00000000" w:rsidP="00000000" w:rsidRDefault="00000000" w:rsidRPr="00000000" w14:paraId="0000001C">
      <w:pPr>
        <w:numPr>
          <w:ilvl w:val="0"/>
          <w:numId w:val="2"/>
        </w:numPr>
        <w:shd w:fill="ffffff" w:val="clear"/>
        <w:spacing w:after="280" w:before="0" w:lineRule="auto"/>
        <w:ind w:left="85"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omezení nežádoucí výživy plevelů</w:t>
      </w:r>
    </w:p>
    <w:p w:rsidR="00000000" w:rsidDel="00000000" w:rsidP="00000000" w:rsidRDefault="00000000" w:rsidRPr="00000000" w14:paraId="0000001D">
      <w:pPr>
        <w:shd w:fill="ffffff" w:val="clear"/>
        <w:spacing w:after="180" w:before="240" w:lineRule="auto"/>
        <w:rPr>
          <w:rFonts w:ascii="Calibri" w:cs="Calibri" w:eastAsia="Calibri" w:hAnsi="Calibri"/>
          <w:color w:val="2a2b2f"/>
          <w:sz w:val="36"/>
          <w:szCs w:val="36"/>
        </w:rPr>
      </w:pPr>
      <w:r w:rsidDel="00000000" w:rsidR="00000000" w:rsidRPr="00000000">
        <w:rPr>
          <w:rFonts w:ascii="Calibri" w:cs="Calibri" w:eastAsia="Calibri" w:hAnsi="Calibri"/>
          <w:color w:val="2a2b2f"/>
          <w:sz w:val="36"/>
          <w:szCs w:val="36"/>
          <w:rtl w:val="0"/>
        </w:rPr>
        <w:t xml:space="preserve">PODPORA VÝBORNÉHO ZDRAVOTNÍHO STAVU ROSTLIN</w:t>
      </w:r>
    </w:p>
    <w:p w:rsidR="00000000" w:rsidDel="00000000" w:rsidP="00000000" w:rsidRDefault="00000000" w:rsidRPr="00000000" w14:paraId="0000001E">
      <w:pPr>
        <w:numPr>
          <w:ilvl w:val="0"/>
          <w:numId w:val="3"/>
        </w:numPr>
        <w:shd w:fill="ffffff" w:val="clear"/>
        <w:spacing w:after="0" w:before="280" w:lineRule="auto"/>
        <w:ind w:left="85"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rychlá regenerace sazenic po výsadbě</w:t>
      </w:r>
    </w:p>
    <w:p w:rsidR="00000000" w:rsidDel="00000000" w:rsidP="00000000" w:rsidRDefault="00000000" w:rsidRPr="00000000" w14:paraId="0000001F">
      <w:pPr>
        <w:numPr>
          <w:ilvl w:val="0"/>
          <w:numId w:val="3"/>
        </w:numPr>
        <w:shd w:fill="ffffff" w:val="clear"/>
        <w:spacing w:after="280" w:before="0" w:lineRule="auto"/>
        <w:ind w:left="85"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tvorba bohatého kořenového systému kolem tablet</w:t>
      </w:r>
    </w:p>
    <w:p w:rsidR="00000000" w:rsidDel="00000000" w:rsidP="00000000" w:rsidRDefault="00000000" w:rsidRPr="00000000" w14:paraId="00000020">
      <w:pPr>
        <w:numPr>
          <w:ilvl w:val="1"/>
          <w:numId w:val="4"/>
        </w:numPr>
        <w:shd w:fill="f1f9fd" w:val="clear"/>
        <w:ind w:left="170" w:hanging="360"/>
        <w:rPr>
          <w:rFonts w:ascii="Arial" w:cs="Arial" w:eastAsia="Arial" w:hAnsi="Arial"/>
          <w:color w:val="333333"/>
          <w:sz w:val="18"/>
          <w:szCs w:val="18"/>
        </w:rPr>
      </w:pPr>
      <w:r w:rsidDel="00000000" w:rsidR="00000000" w:rsidRPr="00000000">
        <w:rPr>
          <w:rFonts w:ascii="Arial" w:cs="Arial" w:eastAsia="Arial" w:hAnsi="Arial"/>
          <w:b w:val="1"/>
          <w:i w:val="1"/>
          <w:color w:val="333333"/>
          <w:sz w:val="18"/>
          <w:szCs w:val="18"/>
          <w:rtl w:val="0"/>
        </w:rPr>
        <w:t xml:space="preserve">Živiny jsou rostlinami využity bez ztrát</w:t>
      </w:r>
      <w:r w:rsidDel="00000000" w:rsidR="00000000" w:rsidRPr="00000000">
        <w:rPr>
          <w:rtl w:val="0"/>
        </w:rPr>
      </w:r>
    </w:p>
    <w:p w:rsidR="00000000" w:rsidDel="00000000" w:rsidP="00000000" w:rsidRDefault="00000000" w:rsidRPr="00000000" w14:paraId="00000021">
      <w:pPr>
        <w:numPr>
          <w:ilvl w:val="1"/>
          <w:numId w:val="4"/>
        </w:numPr>
        <w:shd w:fill="f1f9fd" w:val="clear"/>
        <w:ind w:left="170" w:hanging="360"/>
        <w:rPr>
          <w:rFonts w:ascii="Arial" w:cs="Arial" w:eastAsia="Arial" w:hAnsi="Arial"/>
          <w:color w:val="333333"/>
          <w:sz w:val="18"/>
          <w:szCs w:val="18"/>
        </w:rPr>
      </w:pPr>
      <w:r w:rsidDel="00000000" w:rsidR="00000000" w:rsidRPr="00000000">
        <w:rPr>
          <w:rFonts w:ascii="Arial" w:cs="Arial" w:eastAsia="Arial" w:hAnsi="Arial"/>
          <w:b w:val="1"/>
          <w:i w:val="1"/>
          <w:color w:val="333333"/>
          <w:sz w:val="18"/>
          <w:szCs w:val="18"/>
          <w:rtl w:val="0"/>
        </w:rPr>
        <w:t xml:space="preserve">Velmi bohaté i pro výsadbu v neúrodných půdách</w:t>
      </w:r>
      <w:r w:rsidDel="00000000" w:rsidR="00000000" w:rsidRPr="00000000">
        <w:rPr>
          <w:rtl w:val="0"/>
        </w:rPr>
      </w:r>
    </w:p>
    <w:p w:rsidR="00000000" w:rsidDel="00000000" w:rsidP="00000000" w:rsidRDefault="00000000" w:rsidRPr="00000000" w14:paraId="00000022">
      <w:pPr>
        <w:numPr>
          <w:ilvl w:val="1"/>
          <w:numId w:val="4"/>
        </w:numPr>
        <w:shd w:fill="f1f9fd" w:val="clear"/>
        <w:ind w:left="170" w:hanging="360"/>
        <w:rPr>
          <w:rFonts w:ascii="Arial" w:cs="Arial" w:eastAsia="Arial" w:hAnsi="Arial"/>
          <w:color w:val="333333"/>
          <w:sz w:val="18"/>
          <w:szCs w:val="18"/>
        </w:rPr>
      </w:pPr>
      <w:r w:rsidDel="00000000" w:rsidR="00000000" w:rsidRPr="00000000">
        <w:rPr>
          <w:rFonts w:ascii="Arial" w:cs="Arial" w:eastAsia="Arial" w:hAnsi="Arial"/>
          <w:b w:val="1"/>
          <w:i w:val="1"/>
          <w:color w:val="333333"/>
          <w:sz w:val="18"/>
          <w:szCs w:val="18"/>
          <w:rtl w:val="0"/>
        </w:rPr>
        <w:t xml:space="preserve">Šetrné k životnímu prostředí</w:t>
      </w:r>
      <w:r w:rsidDel="00000000" w:rsidR="00000000" w:rsidRPr="00000000">
        <w:rPr>
          <w:rtl w:val="0"/>
        </w:rPr>
      </w:r>
    </w:p>
    <w:p w:rsidR="00000000" w:rsidDel="00000000" w:rsidP="00000000" w:rsidRDefault="00000000" w:rsidRPr="00000000" w14:paraId="00000023">
      <w:pPr>
        <w:rPr>
          <w:rFonts w:ascii="Calibri" w:cs="Calibri" w:eastAsia="Calibri" w:hAnsi="Calibri"/>
          <w:b w:val="1"/>
          <w:color w:val="2a2b2f"/>
          <w:sz w:val="30"/>
          <w:szCs w:val="30"/>
        </w:rPr>
      </w:pPr>
      <w:r w:rsidDel="00000000" w:rsidR="00000000" w:rsidRPr="00000000">
        <w:rPr>
          <w:rtl w:val="0"/>
        </w:rPr>
      </w:r>
    </w:p>
    <w:p w:rsidR="00000000" w:rsidDel="00000000" w:rsidP="00000000" w:rsidRDefault="00000000" w:rsidRPr="00000000" w14:paraId="00000024">
      <w:pPr>
        <w:rPr>
          <w:b w:val="1"/>
          <w:color w:val="2a2b2f"/>
          <w:sz w:val="30"/>
          <w:szCs w:val="30"/>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2a2b2f"/>
          <w:sz w:val="30"/>
          <w:szCs w:val="30"/>
        </w:rPr>
      </w:pPr>
      <w:r w:rsidDel="00000000" w:rsidR="00000000" w:rsidRPr="00000000">
        <w:rPr>
          <w:rFonts w:ascii="Calibri" w:cs="Calibri" w:eastAsia="Calibri" w:hAnsi="Calibri"/>
          <w:b w:val="1"/>
          <w:color w:val="2a2b2f"/>
          <w:sz w:val="30"/>
          <w:szCs w:val="30"/>
          <w:rtl w:val="0"/>
        </w:rPr>
        <w:t xml:space="preserve">Složení</w:t>
      </w:r>
    </w:p>
    <w:p w:rsidR="00000000" w:rsidDel="00000000" w:rsidP="00000000" w:rsidRDefault="00000000" w:rsidRPr="00000000" w14:paraId="00000026">
      <w:pPr>
        <w:shd w:fill="ffffff" w:val="clear"/>
        <w:spacing w:after="240" w:befor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Dusík (N) celkový 17,5 % Močovinoformaledhydový dusík (N) 11%; Dusík z močovinoformaldehydu (N) rozpustný ve vodě 4,4%; Dusík z močovinoformaldehydu (N) rozpustný pouze v horké vodě 4,2 %; Močovinový dusík (N) 3,0 %; Amonný dusík (N) 2,0%; Dusičnanový dusík (N) 1,5%; Oxid fosforečný (P2O5) rozpustný v neutrálním citrátu amonném a ve vodě 17,5%; Oxid fosforečný (P2O5) vodorozpustný 16,5%; Oxid draselný (K2O) vodorozpustný 10,5 %; Oxid hořečnatý (MgO) celkový 9,0%; Síra (S) vodorozpustná 0,2%.</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shd w:fill="ffffff" w:val="clear"/>
        <w:spacing w:after="180" w:before="240" w:lineRule="auto"/>
        <w:rPr>
          <w:rFonts w:ascii="Calibri" w:cs="Calibri" w:eastAsia="Calibri" w:hAnsi="Calibri"/>
          <w:color w:val="2a2b2f"/>
          <w:sz w:val="36"/>
          <w:szCs w:val="36"/>
        </w:rPr>
      </w:pPr>
      <w:r w:rsidDel="00000000" w:rsidR="00000000" w:rsidRPr="00000000">
        <w:rPr>
          <w:rFonts w:ascii="Calibri" w:cs="Calibri" w:eastAsia="Calibri" w:hAnsi="Calibri"/>
          <w:color w:val="2a2b2f"/>
          <w:sz w:val="36"/>
          <w:szCs w:val="36"/>
          <w:rtl w:val="0"/>
        </w:rPr>
        <w:t xml:space="preserve">Dávkování</w:t>
      </w:r>
    </w:p>
    <w:p w:rsidR="00000000" w:rsidDel="00000000" w:rsidP="00000000" w:rsidRDefault="00000000" w:rsidRPr="00000000" w14:paraId="00000029">
      <w:pPr>
        <w:shd w:fill="ffffff" w:val="clear"/>
        <w:spacing w:after="180" w:before="480" w:lineRule="auto"/>
        <w:rPr>
          <w:rFonts w:ascii="Calibri" w:cs="Calibri" w:eastAsia="Calibri" w:hAnsi="Calibri"/>
          <w:b w:val="1"/>
          <w:color w:val="2a2b2f"/>
          <w:sz w:val="30"/>
          <w:szCs w:val="30"/>
        </w:rPr>
      </w:pPr>
      <w:r w:rsidDel="00000000" w:rsidR="00000000" w:rsidRPr="00000000">
        <w:rPr>
          <w:rFonts w:ascii="Calibri" w:cs="Calibri" w:eastAsia="Calibri" w:hAnsi="Calibri"/>
          <w:b w:val="1"/>
          <w:color w:val="2a2b2f"/>
          <w:sz w:val="30"/>
          <w:szCs w:val="30"/>
          <w:rtl w:val="0"/>
        </w:rPr>
        <w:t xml:space="preserve">Ve volné půdě</w:t>
      </w:r>
    </w:p>
    <w:p w:rsidR="00000000" w:rsidDel="00000000" w:rsidP="00000000" w:rsidRDefault="00000000" w:rsidRPr="00000000" w14:paraId="0000002A">
      <w:pPr>
        <w:shd w:fill="ffffff" w:val="clear"/>
        <w:spacing w:after="240" w:befor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Tablety se aplikují na povrch půdy nebo do úrovně kořenů na okraj výsadbové jamky. Vzdálenost tablet od kmene rostliny odpovídá průměru obvodu koruny na půdu. Nejblíže se tablety kladou do vzdálenosti 15 cm od kmene, nejdále do vzdálenosti o 10 cm vetší, než je průmět obvodu koruny na půdu (obr. 1-3). Doporučené množství hnojiva aplikované k rostlině je uvedeno v tabulce.</w:t>
      </w:r>
    </w:p>
    <w:p w:rsidR="00000000" w:rsidDel="00000000" w:rsidP="00000000" w:rsidRDefault="00000000" w:rsidRPr="00000000" w14:paraId="0000002B">
      <w:pPr>
        <w:shd w:fill="ffffff" w:val="clear"/>
        <w:spacing w:after="240" w:befor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Používá se nejméně dávka 40 – 50 g k jedné sazenici, tj. 4-5 tablet (à 10 g) (obr. 1). K 1 - 4 letému stromku nebo keři se kladou tablety na povrch půdy (obr. 3) a patou nohy se zašlápnou mělce pod povrch. Lze je zapravit i do úrovně kořenů (nikoliv pod kořenový systém rostliny), na okraj výsadbové jamky (obr. 2). Způsob aplikace se volí podle místních a klimatických podmínek</w:t>
      </w:r>
    </w:p>
    <w:p w:rsidR="00000000" w:rsidDel="00000000" w:rsidP="00000000" w:rsidRDefault="00000000" w:rsidRPr="00000000" w14:paraId="0000002C">
      <w:pPr>
        <w:shd w:fill="ffffff" w:val="clear"/>
        <w:spacing w:after="180" w:before="480" w:lineRule="auto"/>
        <w:rPr>
          <w:b w:val="1"/>
          <w:color w:val="2a2b2f"/>
          <w:sz w:val="30"/>
          <w:szCs w:val="30"/>
        </w:rPr>
      </w:pPr>
      <w:r w:rsidDel="00000000" w:rsidR="00000000" w:rsidRPr="00000000">
        <w:rPr>
          <w:rFonts w:ascii="Calibri" w:cs="Calibri" w:eastAsia="Calibri" w:hAnsi="Calibri"/>
          <w:b w:val="1"/>
          <w:color w:val="2a2b2f"/>
          <w:sz w:val="30"/>
          <w:szCs w:val="30"/>
          <w:rtl w:val="0"/>
        </w:rPr>
        <w:t xml:space="preserve">V nádobách</w:t>
      </w:r>
      <w:r w:rsidDel="00000000" w:rsidR="00000000" w:rsidRPr="00000000">
        <w:rPr>
          <w:rtl w:val="0"/>
        </w:rPr>
      </w:r>
    </w:p>
    <w:p w:rsidR="00000000" w:rsidDel="00000000" w:rsidP="00000000" w:rsidRDefault="00000000" w:rsidRPr="00000000" w14:paraId="0000002D">
      <w:pPr>
        <w:shd w:fill="ffffff" w:val="clear"/>
        <w:spacing w:after="180" w:before="480" w:lineRule="auto"/>
        <w:rPr>
          <w:rFonts w:ascii="Arial" w:cs="Arial" w:eastAsia="Arial" w:hAnsi="Arial"/>
          <w:color w:val="333333"/>
          <w:sz w:val="18"/>
          <w:szCs w:val="18"/>
        </w:rPr>
      </w:pPr>
      <w:r w:rsidDel="00000000" w:rsidR="00000000" w:rsidRPr="00000000">
        <w:rPr>
          <w:rFonts w:ascii="Arial" w:cs="Arial" w:eastAsia="Arial" w:hAnsi="Arial"/>
          <w:color w:val="333333"/>
          <w:sz w:val="4"/>
          <w:szCs w:val="4"/>
          <w:rtl w:val="0"/>
        </w:rPr>
        <w:br w:type="textWrapping"/>
      </w:r>
      <w:r w:rsidDel="00000000" w:rsidR="00000000" w:rsidRPr="00000000">
        <w:rPr>
          <w:rFonts w:ascii="Arial" w:cs="Arial" w:eastAsia="Arial" w:hAnsi="Arial"/>
          <w:color w:val="333333"/>
          <w:sz w:val="18"/>
          <w:szCs w:val="18"/>
          <w:rtl w:val="0"/>
        </w:rPr>
        <w:t xml:space="preserve">Tablety se aplikují pod nebo nad kořenový systém rostliny nad okraj nádoby (obr. 4-5) v množství 10 g hnojiva (1 tableta) na 1 litr zeminy tak, aby se kořeny rostlin nedotýkaly tablet.</w:t>
      </w:r>
    </w:p>
    <w:p w:rsidR="00000000" w:rsidDel="00000000" w:rsidP="00000000" w:rsidRDefault="00000000" w:rsidRPr="00000000" w14:paraId="0000002E">
      <w:pPr>
        <w:shd w:fill="ffffff" w:val="clear"/>
        <w:spacing w:after="240" w:befor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Tabletovaná hnojiva se používají na hnojení a dohnojování okrasných rostlin a květin v doporučené dávce -1 tableta (á 5 g, nebo 10 g) na litr zeminy dle místních podmínek a charakteru rostlin.</w:t>
      </w:r>
    </w:p>
    <w:tbl>
      <w:tblPr>
        <w:tblStyle w:val="Table1"/>
        <w:tblW w:w="9510.0" w:type="dxa"/>
        <w:jc w:val="left"/>
        <w:tblLayout w:type="fixed"/>
        <w:tblLook w:val="0400"/>
      </w:tblPr>
      <w:tblGrid>
        <w:gridCol w:w="5266"/>
        <w:gridCol w:w="4244"/>
        <w:tblGridChange w:id="0">
          <w:tblGrid>
            <w:gridCol w:w="5266"/>
            <w:gridCol w:w="4244"/>
          </w:tblGrid>
        </w:tblGridChange>
      </w:tblGrid>
      <w:tr>
        <w:trPr>
          <w:cantSplit w:val="0"/>
          <w:tblHeader w:val="0"/>
        </w:trPr>
        <w:tc>
          <w:tcPr>
            <w:tcBorders>
              <w:bottom w:color="84c9e5" w:space="0" w:sz="6" w:val="single"/>
            </w:tcBorders>
            <w:shd w:fill="f1f9fd" w:val="clear"/>
            <w:tcMar>
              <w:top w:w="90.0" w:type="dxa"/>
              <w:left w:w="150.0" w:type="dxa"/>
              <w:bottom w:w="90.0" w:type="dxa"/>
              <w:right w:w="150.0" w:type="dxa"/>
            </w:tcMar>
          </w:tcPr>
          <w:p w:rsidR="00000000" w:rsidDel="00000000" w:rsidP="00000000" w:rsidRDefault="00000000" w:rsidRPr="00000000" w14:paraId="0000002F">
            <w:pPr>
              <w:spacing w:after="180" w:before="48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 Hnojení</w:t>
            </w:r>
          </w:p>
        </w:tc>
        <w:tc>
          <w:tcPr>
            <w:tcBorders>
              <w:bottom w:color="84c9e5" w:space="0" w:sz="6" w:val="single"/>
            </w:tcBorders>
            <w:shd w:fill="f1f9fd" w:val="clear"/>
            <w:tcMar>
              <w:top w:w="90.0" w:type="dxa"/>
              <w:left w:w="150.0" w:type="dxa"/>
              <w:bottom w:w="90.0" w:type="dxa"/>
              <w:right w:w="150.0" w:type="dxa"/>
            </w:tcMar>
          </w:tcPr>
          <w:p w:rsidR="00000000" w:rsidDel="00000000" w:rsidP="00000000" w:rsidRDefault="00000000" w:rsidRPr="00000000" w14:paraId="00000030">
            <w:pPr>
              <w:spacing w:after="180" w:before="48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b) Dohnojování</w:t>
            </w:r>
          </w:p>
        </w:tc>
      </w:tr>
      <w:tr>
        <w:trPr>
          <w:cantSplit w:val="0"/>
          <w:tblHeader w:val="0"/>
        </w:trPr>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31">
            <w:pP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Tablety se pokládají při výsadbě na vrstvu zeminy pod kořenový balíček (obr. 4). Při použití většího počtu tablet se tyto pravidelně rozloží v obvodu kořenového systému (obr. 2).</w:t>
            </w:r>
          </w:p>
        </w:tc>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32">
            <w:pP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Tablety se zaškrábnou mělce pod povrch zeminy ve vzdálenosti 5 až 10 cm rovnoměrně od kmene zakořenělé rostliny (obr. 3 a 5).</w:t>
            </w:r>
          </w:p>
        </w:tc>
      </w:tr>
    </w:tb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333333"/>
          <w:sz w:val="18"/>
          <w:szCs w:val="18"/>
        </w:rPr>
      </w:pPr>
      <w:r w:rsidDel="00000000" w:rsidR="00000000" w:rsidRPr="00000000">
        <w:rPr>
          <w:rtl w:val="0"/>
        </w:rPr>
      </w:r>
    </w:p>
    <w:tbl>
      <w:tblPr>
        <w:tblStyle w:val="Table2"/>
        <w:tblW w:w="9510.0" w:type="dxa"/>
        <w:jc w:val="left"/>
        <w:tblLayout w:type="fixed"/>
        <w:tblLook w:val="0400"/>
      </w:tblPr>
      <w:tblGrid>
        <w:gridCol w:w="2944"/>
        <w:gridCol w:w="3283"/>
        <w:gridCol w:w="3283"/>
        <w:tblGridChange w:id="0">
          <w:tblGrid>
            <w:gridCol w:w="2944"/>
            <w:gridCol w:w="3283"/>
            <w:gridCol w:w="3283"/>
          </w:tblGrid>
        </w:tblGridChange>
      </w:tblGrid>
      <w:tr>
        <w:trPr>
          <w:cantSplit w:val="0"/>
          <w:tblHeader w:val="0"/>
        </w:trPr>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34">
            <w:pPr>
              <w:spacing w:after="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Pr>
              <w:drawing>
                <wp:inline distB="0" distT="0" distL="0" distR="0">
                  <wp:extent cx="1449705" cy="1984375"/>
                  <wp:effectExtent b="0" l="0" r="0" t="0"/>
                  <wp:docPr descr="https://eshop.oslavan.cz/editor/filestore/Image/hnojiva/obr1.jpg" id="10" name="image4.jpg"/>
                  <a:graphic>
                    <a:graphicData uri="http://schemas.openxmlformats.org/drawingml/2006/picture">
                      <pic:pic>
                        <pic:nvPicPr>
                          <pic:cNvPr descr="https://eshop.oslavan.cz/editor/filestore/Image/hnojiva/obr1.jpg" id="0" name="image4.jpg"/>
                          <pic:cNvPicPr preferRelativeResize="0"/>
                        </pic:nvPicPr>
                        <pic:blipFill>
                          <a:blip r:embed="rId8"/>
                          <a:srcRect b="0" l="0" r="0" t="0"/>
                          <a:stretch>
                            <a:fillRect/>
                          </a:stretch>
                        </pic:blipFill>
                        <pic:spPr>
                          <a:xfrm>
                            <a:off x="0" y="0"/>
                            <a:ext cx="1449705" cy="1984375"/>
                          </a:xfrm>
                          <a:prstGeom prst="rect"/>
                          <a:ln/>
                        </pic:spPr>
                      </pic:pic>
                    </a:graphicData>
                  </a:graphic>
                </wp:inline>
              </w:drawing>
            </w:r>
            <w:r w:rsidDel="00000000" w:rsidR="00000000" w:rsidRPr="00000000">
              <w:rPr>
                <w:rtl w:val="0"/>
              </w:rPr>
            </w:r>
          </w:p>
        </w:tc>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35">
            <w:pPr>
              <w:spacing w:after="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Pr>
              <w:drawing>
                <wp:inline distB="0" distT="0" distL="0" distR="0">
                  <wp:extent cx="1634490" cy="2062480"/>
                  <wp:effectExtent b="0" l="0" r="0" t="0"/>
                  <wp:docPr descr="https://eshop.oslavan.cz/editor/filestore/Image/hnojiva/okrasne_kvetiny_obr_2.jpg" id="9" name="image3.jpg"/>
                  <a:graphic>
                    <a:graphicData uri="http://schemas.openxmlformats.org/drawingml/2006/picture">
                      <pic:pic>
                        <pic:nvPicPr>
                          <pic:cNvPr descr="https://eshop.oslavan.cz/editor/filestore/Image/hnojiva/okrasne_kvetiny_obr_2.jpg" id="0" name="image3.jpg"/>
                          <pic:cNvPicPr preferRelativeResize="0"/>
                        </pic:nvPicPr>
                        <pic:blipFill>
                          <a:blip r:embed="rId9"/>
                          <a:srcRect b="0" l="0" r="0" t="0"/>
                          <a:stretch>
                            <a:fillRect/>
                          </a:stretch>
                        </pic:blipFill>
                        <pic:spPr>
                          <a:xfrm>
                            <a:off x="0" y="0"/>
                            <a:ext cx="1634490" cy="2062480"/>
                          </a:xfrm>
                          <a:prstGeom prst="rect"/>
                          <a:ln/>
                        </pic:spPr>
                      </pic:pic>
                    </a:graphicData>
                  </a:graphic>
                </wp:inline>
              </w:drawing>
            </w:r>
            <w:r w:rsidDel="00000000" w:rsidR="00000000" w:rsidRPr="00000000">
              <w:rPr>
                <w:rtl w:val="0"/>
              </w:rPr>
            </w:r>
          </w:p>
        </w:tc>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36">
            <w:pPr>
              <w:spacing w:after="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Pr>
              <w:drawing>
                <wp:inline distB="0" distT="0" distL="0" distR="0">
                  <wp:extent cx="1634490" cy="2373630"/>
                  <wp:effectExtent b="0" l="0" r="0" t="0"/>
                  <wp:docPr descr="https://eshop.oslavan.cz/editor/filestore/Image/hnojiva/okrasne_kvetiny_obr_3.jpg" id="12" name="image6.jpg"/>
                  <a:graphic>
                    <a:graphicData uri="http://schemas.openxmlformats.org/drawingml/2006/picture">
                      <pic:pic>
                        <pic:nvPicPr>
                          <pic:cNvPr descr="https://eshop.oslavan.cz/editor/filestore/Image/hnojiva/okrasne_kvetiny_obr_3.jpg" id="0" name="image6.jpg"/>
                          <pic:cNvPicPr preferRelativeResize="0"/>
                        </pic:nvPicPr>
                        <pic:blipFill>
                          <a:blip r:embed="rId10"/>
                          <a:srcRect b="0" l="0" r="0" t="0"/>
                          <a:stretch>
                            <a:fillRect/>
                          </a:stretch>
                        </pic:blipFill>
                        <pic:spPr>
                          <a:xfrm>
                            <a:off x="0" y="0"/>
                            <a:ext cx="1634490" cy="2373630"/>
                          </a:xfrm>
                          <a:prstGeom prst="rect"/>
                          <a:ln/>
                        </pic:spPr>
                      </pic:pic>
                    </a:graphicData>
                  </a:graphic>
                </wp:inline>
              </w:drawing>
            </w:r>
            <w:r w:rsidDel="00000000" w:rsidR="00000000" w:rsidRPr="00000000">
              <w:rPr>
                <w:rtl w:val="0"/>
              </w:rPr>
            </w:r>
          </w:p>
        </w:tc>
      </w:tr>
      <w:tr>
        <w:trPr>
          <w:cantSplit w:val="0"/>
          <w:tblHeader w:val="0"/>
        </w:trPr>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37">
            <w:pPr>
              <w:spacing w:after="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obr. 1</w:t>
            </w:r>
          </w:p>
        </w:tc>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38">
            <w:pPr>
              <w:spacing w:after="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obr. 2</w:t>
            </w:r>
          </w:p>
        </w:tc>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39">
            <w:pPr>
              <w:spacing w:after="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obr. 3 </w:t>
            </w:r>
          </w:p>
        </w:tc>
      </w:tr>
      <w:tr>
        <w:trPr>
          <w:cantSplit w:val="0"/>
          <w:tblHeader w:val="0"/>
        </w:trPr>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3A">
            <w:pPr>
              <w:spacing w:after="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Pr>
              <w:drawing>
                <wp:inline distB="0" distT="0" distL="0" distR="0">
                  <wp:extent cx="1079500" cy="1984375"/>
                  <wp:effectExtent b="0" l="0" r="0" t="0"/>
                  <wp:docPr descr="https://eshop.oslavan.cz/editor/filestore/Image/hnojiva/okrasne_kvetiny_obr_4.jpg" id="11" name="image1.jpg"/>
                  <a:graphic>
                    <a:graphicData uri="http://schemas.openxmlformats.org/drawingml/2006/picture">
                      <pic:pic>
                        <pic:nvPicPr>
                          <pic:cNvPr descr="https://eshop.oslavan.cz/editor/filestore/Image/hnojiva/okrasne_kvetiny_obr_4.jpg" id="0" name="image1.jpg"/>
                          <pic:cNvPicPr preferRelativeResize="0"/>
                        </pic:nvPicPr>
                        <pic:blipFill>
                          <a:blip r:embed="rId11"/>
                          <a:srcRect b="0" l="0" r="0" t="0"/>
                          <a:stretch>
                            <a:fillRect/>
                          </a:stretch>
                        </pic:blipFill>
                        <pic:spPr>
                          <a:xfrm>
                            <a:off x="0" y="0"/>
                            <a:ext cx="1079500" cy="1984375"/>
                          </a:xfrm>
                          <a:prstGeom prst="rect"/>
                          <a:ln/>
                        </pic:spPr>
                      </pic:pic>
                    </a:graphicData>
                  </a:graphic>
                </wp:inline>
              </w:drawing>
            </w:r>
            <w:r w:rsidDel="00000000" w:rsidR="00000000" w:rsidRPr="00000000">
              <w:rPr>
                <w:rtl w:val="0"/>
              </w:rPr>
            </w:r>
          </w:p>
        </w:tc>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3B">
            <w:pPr>
              <w:spacing w:after="240" w:lineRule="auto"/>
              <w:rPr>
                <w:rFonts w:ascii="Arial" w:cs="Arial" w:eastAsia="Arial" w:hAnsi="Arial"/>
                <w:color w:val="333333"/>
                <w:sz w:val="18"/>
                <w:szCs w:val="18"/>
              </w:rPr>
            </w:pPr>
            <w:r w:rsidDel="00000000" w:rsidR="00000000" w:rsidRPr="00000000">
              <w:rPr>
                <w:rtl w:val="0"/>
              </w:rPr>
            </w:r>
          </w:p>
        </w:tc>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3C">
            <w:pPr>
              <w:spacing w:after="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Pr>
              <w:drawing>
                <wp:inline distB="0" distT="0" distL="0" distR="0">
                  <wp:extent cx="1235710" cy="1993900"/>
                  <wp:effectExtent b="0" l="0" r="0" t="0"/>
                  <wp:docPr descr="https://eshop.oslavan.cz/editor/filestore/Image/hnojiva/okrasne_kvetiny_obr_5.jpg" id="7" name="image2.jpg"/>
                  <a:graphic>
                    <a:graphicData uri="http://schemas.openxmlformats.org/drawingml/2006/picture">
                      <pic:pic>
                        <pic:nvPicPr>
                          <pic:cNvPr descr="https://eshop.oslavan.cz/editor/filestore/Image/hnojiva/okrasne_kvetiny_obr_5.jpg" id="0" name="image2.jpg"/>
                          <pic:cNvPicPr preferRelativeResize="0"/>
                        </pic:nvPicPr>
                        <pic:blipFill>
                          <a:blip r:embed="rId12"/>
                          <a:srcRect b="0" l="0" r="0" t="0"/>
                          <a:stretch>
                            <a:fillRect/>
                          </a:stretch>
                        </pic:blipFill>
                        <pic:spPr>
                          <a:xfrm>
                            <a:off x="0" y="0"/>
                            <a:ext cx="1235710" cy="1993900"/>
                          </a:xfrm>
                          <a:prstGeom prst="rect"/>
                          <a:ln/>
                        </pic:spPr>
                      </pic:pic>
                    </a:graphicData>
                  </a:graphic>
                </wp:inline>
              </w:drawing>
            </w:r>
            <w:r w:rsidDel="00000000" w:rsidR="00000000" w:rsidRPr="00000000">
              <w:rPr>
                <w:rtl w:val="0"/>
              </w:rPr>
            </w:r>
          </w:p>
        </w:tc>
      </w:tr>
      <w:tr>
        <w:trPr>
          <w:cantSplit w:val="0"/>
          <w:tblHeader w:val="0"/>
        </w:trPr>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3D">
            <w:pPr>
              <w:spacing w:after="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obr. 4</w:t>
            </w:r>
          </w:p>
        </w:tc>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3E">
            <w:pPr>
              <w:spacing w:after="240" w:lineRule="auto"/>
              <w:rPr>
                <w:rFonts w:ascii="Arial" w:cs="Arial" w:eastAsia="Arial" w:hAnsi="Arial"/>
                <w:color w:val="333333"/>
                <w:sz w:val="18"/>
                <w:szCs w:val="18"/>
              </w:rPr>
            </w:pPr>
            <w:r w:rsidDel="00000000" w:rsidR="00000000" w:rsidRPr="00000000">
              <w:rPr>
                <w:rtl w:val="0"/>
              </w:rPr>
            </w:r>
          </w:p>
        </w:tc>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3F">
            <w:pPr>
              <w:spacing w:after="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obr. 5</w:t>
            </w:r>
          </w:p>
        </w:tc>
      </w:tr>
    </w:tbl>
    <w:p w:rsidR="00000000" w:rsidDel="00000000" w:rsidP="00000000" w:rsidRDefault="00000000" w:rsidRPr="00000000" w14:paraId="00000040">
      <w:pPr>
        <w:shd w:fill="ffffff" w:val="clear"/>
        <w:spacing w:after="180" w:before="48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Počet hnojivých tablet k rostlině se volí podle jejího stáří a vzrůstu:</w:t>
      </w:r>
    </w:p>
    <w:tbl>
      <w:tblPr>
        <w:tblStyle w:val="Table3"/>
        <w:tblW w:w="9510.0" w:type="dxa"/>
        <w:jc w:val="left"/>
        <w:tblLayout w:type="fixed"/>
        <w:tblLook w:val="0400"/>
      </w:tblPr>
      <w:tblGrid>
        <w:gridCol w:w="3227"/>
        <w:gridCol w:w="3428"/>
        <w:gridCol w:w="2855"/>
        <w:tblGridChange w:id="0">
          <w:tblGrid>
            <w:gridCol w:w="3227"/>
            <w:gridCol w:w="3428"/>
            <w:gridCol w:w="2855"/>
          </w:tblGrid>
        </w:tblGridChange>
      </w:tblGrid>
      <w:tr>
        <w:trPr>
          <w:cantSplit w:val="0"/>
          <w:tblHeader w:val="0"/>
        </w:trPr>
        <w:tc>
          <w:tcPr>
            <w:tcBorders>
              <w:bottom w:color="84c9e5" w:space="0" w:sz="6" w:val="single"/>
            </w:tcBorders>
            <w:shd w:fill="f1f9fd" w:val="clear"/>
            <w:tcMar>
              <w:top w:w="90.0" w:type="dxa"/>
              <w:left w:w="150.0" w:type="dxa"/>
              <w:bottom w:w="90.0" w:type="dxa"/>
              <w:right w:w="150.0" w:type="dxa"/>
            </w:tcMar>
          </w:tcPr>
          <w:p w:rsidR="00000000" w:rsidDel="00000000" w:rsidP="00000000" w:rsidRDefault="00000000" w:rsidRPr="00000000" w14:paraId="00000041">
            <w:pPr>
              <w:spacing w:after="240" w:lineRule="auto"/>
              <w:rPr>
                <w:rFonts w:ascii="Arial" w:cs="Arial" w:eastAsia="Arial" w:hAnsi="Arial"/>
                <w:b w:val="1"/>
                <w:color w:val="333333"/>
                <w:sz w:val="18"/>
                <w:szCs w:val="18"/>
              </w:rPr>
            </w:pPr>
            <w:r w:rsidDel="00000000" w:rsidR="00000000" w:rsidRPr="00000000">
              <w:rPr>
                <w:rFonts w:ascii="Arial" w:cs="Arial" w:eastAsia="Arial" w:hAnsi="Arial"/>
                <w:b w:val="1"/>
                <w:color w:val="333333"/>
                <w:sz w:val="18"/>
                <w:szCs w:val="18"/>
                <w:rtl w:val="0"/>
              </w:rPr>
              <w:t xml:space="preserve">Průměr koruny (m)</w:t>
            </w:r>
          </w:p>
        </w:tc>
        <w:tc>
          <w:tcPr>
            <w:tcBorders>
              <w:bottom w:color="84c9e5" w:space="0" w:sz="6" w:val="single"/>
            </w:tcBorders>
            <w:shd w:fill="f1f9fd" w:val="clear"/>
            <w:tcMar>
              <w:top w:w="90.0" w:type="dxa"/>
              <w:left w:w="150.0" w:type="dxa"/>
              <w:bottom w:w="90.0" w:type="dxa"/>
              <w:right w:w="150.0" w:type="dxa"/>
            </w:tcMar>
          </w:tcPr>
          <w:p w:rsidR="00000000" w:rsidDel="00000000" w:rsidP="00000000" w:rsidRDefault="00000000" w:rsidRPr="00000000" w14:paraId="00000042">
            <w:pPr>
              <w:spacing w:after="240" w:lineRule="auto"/>
              <w:rPr>
                <w:rFonts w:ascii="Arial" w:cs="Arial" w:eastAsia="Arial" w:hAnsi="Arial"/>
                <w:b w:val="1"/>
                <w:color w:val="333333"/>
                <w:sz w:val="18"/>
                <w:szCs w:val="18"/>
              </w:rPr>
            </w:pPr>
            <w:r w:rsidDel="00000000" w:rsidR="00000000" w:rsidRPr="00000000">
              <w:rPr>
                <w:rFonts w:ascii="Arial" w:cs="Arial" w:eastAsia="Arial" w:hAnsi="Arial"/>
                <w:b w:val="1"/>
                <w:color w:val="333333"/>
                <w:sz w:val="18"/>
                <w:szCs w:val="18"/>
                <w:rtl w:val="0"/>
              </w:rPr>
              <w:t xml:space="preserve">Množství hnojiva (g)</w:t>
            </w:r>
          </w:p>
        </w:tc>
        <w:tc>
          <w:tcPr>
            <w:tcBorders>
              <w:bottom w:color="84c9e5" w:space="0" w:sz="6" w:val="single"/>
            </w:tcBorders>
            <w:shd w:fill="f1f9fd" w:val="clear"/>
            <w:tcMar>
              <w:top w:w="90.0" w:type="dxa"/>
              <w:left w:w="150.0" w:type="dxa"/>
              <w:bottom w:w="90.0" w:type="dxa"/>
              <w:right w:w="150.0" w:type="dxa"/>
            </w:tcMar>
          </w:tcPr>
          <w:p w:rsidR="00000000" w:rsidDel="00000000" w:rsidP="00000000" w:rsidRDefault="00000000" w:rsidRPr="00000000" w14:paraId="00000043">
            <w:pPr>
              <w:spacing w:after="240" w:lineRule="auto"/>
              <w:rPr>
                <w:rFonts w:ascii="Arial" w:cs="Arial" w:eastAsia="Arial" w:hAnsi="Arial"/>
                <w:b w:val="1"/>
                <w:color w:val="333333"/>
                <w:sz w:val="18"/>
                <w:szCs w:val="18"/>
              </w:rPr>
            </w:pPr>
            <w:r w:rsidDel="00000000" w:rsidR="00000000" w:rsidRPr="00000000">
              <w:rPr>
                <w:rFonts w:ascii="Arial" w:cs="Arial" w:eastAsia="Arial" w:hAnsi="Arial"/>
                <w:b w:val="1"/>
                <w:color w:val="333333"/>
                <w:sz w:val="18"/>
                <w:szCs w:val="18"/>
                <w:rtl w:val="0"/>
              </w:rPr>
              <w:t xml:space="preserve">Počet tablet (ks)</w:t>
            </w:r>
          </w:p>
        </w:tc>
      </w:tr>
      <w:tr>
        <w:trPr>
          <w:cantSplit w:val="0"/>
          <w:tblHeader w:val="0"/>
        </w:trPr>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44">
            <w:pPr>
              <w:spacing w:after="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0,1</w:t>
            </w:r>
          </w:p>
        </w:tc>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45">
            <w:pPr>
              <w:spacing w:after="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40</w:t>
            </w:r>
          </w:p>
        </w:tc>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46">
            <w:pPr>
              <w:spacing w:after="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4</w:t>
            </w:r>
          </w:p>
        </w:tc>
      </w:tr>
      <w:tr>
        <w:trPr>
          <w:cantSplit w:val="0"/>
          <w:tblHeader w:val="0"/>
        </w:trPr>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47">
            <w:pPr>
              <w:spacing w:after="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0,5</w:t>
            </w:r>
          </w:p>
        </w:tc>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48">
            <w:pPr>
              <w:spacing w:after="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80</w:t>
            </w:r>
          </w:p>
        </w:tc>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49">
            <w:pPr>
              <w:spacing w:after="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8</w:t>
            </w:r>
          </w:p>
        </w:tc>
      </w:tr>
      <w:tr>
        <w:trPr>
          <w:cantSplit w:val="0"/>
          <w:tblHeader w:val="0"/>
        </w:trPr>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4A">
            <w:pPr>
              <w:spacing w:after="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1,0</w:t>
            </w:r>
          </w:p>
        </w:tc>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4B">
            <w:pPr>
              <w:spacing w:after="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150</w:t>
            </w:r>
          </w:p>
        </w:tc>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4C">
            <w:pPr>
              <w:spacing w:after="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15</w:t>
            </w:r>
          </w:p>
        </w:tc>
      </w:tr>
      <w:tr>
        <w:trPr>
          <w:cantSplit w:val="0"/>
          <w:tblHeader w:val="0"/>
        </w:trPr>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4D">
            <w:pPr>
              <w:spacing w:after="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1,5</w:t>
            </w:r>
          </w:p>
        </w:tc>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4E">
            <w:pPr>
              <w:spacing w:after="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200</w:t>
            </w:r>
          </w:p>
        </w:tc>
        <w:tc>
          <w:tcPr>
            <w:tcBorders>
              <w:bottom w:color="84c9e5" w:space="0" w:sz="6" w:val="single"/>
            </w:tcBorders>
            <w:shd w:fill="ffffff" w:val="clear"/>
            <w:tcMar>
              <w:top w:w="90.0" w:type="dxa"/>
              <w:left w:w="150.0" w:type="dxa"/>
              <w:bottom w:w="90.0" w:type="dxa"/>
              <w:right w:w="150.0" w:type="dxa"/>
            </w:tcMar>
          </w:tcPr>
          <w:p w:rsidR="00000000" w:rsidDel="00000000" w:rsidP="00000000" w:rsidRDefault="00000000" w:rsidRPr="00000000" w14:paraId="0000004F">
            <w:pPr>
              <w:spacing w:after="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20</w:t>
            </w:r>
          </w:p>
        </w:tc>
      </w:tr>
    </w:tbl>
    <w:p w:rsidR="00000000" w:rsidDel="00000000" w:rsidP="00000000" w:rsidRDefault="00000000" w:rsidRPr="00000000" w14:paraId="00000050">
      <w:pPr>
        <w:shd w:fill="ffffff" w:val="clear"/>
        <w:spacing w:after="180" w:before="480" w:lineRule="auto"/>
        <w:rPr>
          <w:rFonts w:ascii="Calibri" w:cs="Calibri" w:eastAsia="Calibri" w:hAnsi="Calibri"/>
          <w:b w:val="1"/>
          <w:color w:val="2a2b2f"/>
          <w:sz w:val="30"/>
          <w:szCs w:val="30"/>
        </w:rPr>
      </w:pPr>
      <w:r w:rsidDel="00000000" w:rsidR="00000000" w:rsidRPr="00000000">
        <w:rPr>
          <w:rFonts w:ascii="Calibri" w:cs="Calibri" w:eastAsia="Calibri" w:hAnsi="Calibri"/>
          <w:b w:val="1"/>
          <w:color w:val="2a2b2f"/>
          <w:sz w:val="30"/>
          <w:szCs w:val="30"/>
          <w:rtl w:val="0"/>
        </w:rPr>
        <w:t xml:space="preserve">Doba aplikace</w:t>
      </w:r>
    </w:p>
    <w:p w:rsidR="00000000" w:rsidDel="00000000" w:rsidP="00000000" w:rsidRDefault="00000000" w:rsidRPr="00000000" w14:paraId="00000051">
      <w:pPr>
        <w:shd w:fill="f1f9fd" w:val="clear"/>
        <w:rPr>
          <w:rFonts w:ascii="Arial" w:cs="Arial" w:eastAsia="Arial" w:hAnsi="Arial"/>
          <w:color w:val="333333"/>
          <w:sz w:val="30"/>
          <w:szCs w:val="30"/>
        </w:rPr>
      </w:pPr>
      <w:r w:rsidDel="00000000" w:rsidR="00000000" w:rsidRPr="00000000">
        <w:rPr>
          <w:rFonts w:ascii="Arial" w:cs="Arial" w:eastAsia="Arial" w:hAnsi="Arial"/>
          <w:color w:val="333333"/>
          <w:sz w:val="30"/>
          <w:szCs w:val="30"/>
          <w:rtl w:val="0"/>
        </w:rPr>
        <w:t xml:space="preserve">Živiny se uvolňují do půdy po dobu minimálně 2 let</w:t>
      </w:r>
    </w:p>
    <w:p w:rsidR="00000000" w:rsidDel="00000000" w:rsidP="00000000" w:rsidRDefault="00000000" w:rsidRPr="00000000" w14:paraId="00000052">
      <w:pPr>
        <w:shd w:fill="ffffff" w:val="clear"/>
        <w:spacing w:after="240" w:befor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Optimální doba hnojení je </w:t>
      </w:r>
      <w:r w:rsidDel="00000000" w:rsidR="00000000" w:rsidRPr="00000000">
        <w:rPr>
          <w:rFonts w:ascii="Arial" w:cs="Arial" w:eastAsia="Arial" w:hAnsi="Arial"/>
          <w:b w:val="1"/>
          <w:color w:val="333333"/>
          <w:sz w:val="18"/>
          <w:szCs w:val="18"/>
          <w:rtl w:val="0"/>
        </w:rPr>
        <w:t xml:space="preserve">březen až červenec</w:t>
      </w:r>
      <w:r w:rsidDel="00000000" w:rsidR="00000000" w:rsidRPr="00000000">
        <w:rPr>
          <w:rFonts w:ascii="Arial" w:cs="Arial" w:eastAsia="Arial" w:hAnsi="Arial"/>
          <w:color w:val="333333"/>
          <w:sz w:val="18"/>
          <w:szCs w:val="18"/>
          <w:rtl w:val="0"/>
        </w:rPr>
        <w:t xml:space="preserve">. Při jarní výsadbě lze tablety aplikovat k sazenicím ještě v tomtéž roce. Velmi účinné je přihnojení sazenic v roce následujícím po výsadbě.</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shd w:fill="ffffff" w:val="clear"/>
        <w:spacing w:after="240" w:befor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V evropských klimatických podmínkách se živiny z pomalu rozpustných hnojiv řady SILVAMIX uvolňují v závislosti na vodních srážkách a teplotě po dobu minimálně dvou let.</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shd w:fill="ffffff" w:val="clear"/>
        <w:spacing w:after="240" w:before="240" w:lineRule="auto"/>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Jedná se o hnojivo šetrné k životnímu prostředí. Představují ideální formu individuálního hnojení ke každé rostlině zvlášť a vytvářejí v půdě nebo v substrátu dostatečnou zásobu živin bez obav z nežádoucího zvýšení koncentrace půdního roztoku a ze ztrát vymýváním živin. Aplikace je jednoduchá a lokalizovaná, umožňuje přesné dávkování k rostlině a minimalizuje neproduktivní hnojení půdy mimo dosah kořenového systému. Nízkou rozpustností se eliminuje jejich průnik do povrchových a spodních vod. Neobsahují nežádoucí příměsi ani chloridy. Způsobem aplikace a svými vlastnostmi minimalizují negativní dopady klasických rychle rozpustných průmyslových hnojiv na životní prostředí. Použití tabletových hnojiv znamená značnou úsporu času, práce a výjezdu do porostů k doplňkovému hnojení. Odpadá problematické a pracné míchání substrátu s klasickými hnojivy. Práce s tabletami je velmi hygienická. Při manipulaci s tabletami se nepráší podobně jako u práškových nebo i z části granulovaných hnojiv.</w:t>
      </w:r>
    </w:p>
    <w:p w:rsidR="00000000" w:rsidDel="00000000" w:rsidP="00000000" w:rsidRDefault="00000000" w:rsidRPr="00000000" w14:paraId="00000057">
      <w:pPr>
        <w:shd w:fill="f1f9fd" w:val="clear"/>
        <w:rPr>
          <w:rFonts w:ascii="Arial" w:cs="Arial" w:eastAsia="Arial" w:hAnsi="Arial"/>
          <w:color w:val="333333"/>
          <w:sz w:val="18"/>
          <w:szCs w:val="18"/>
        </w:rPr>
      </w:pPr>
      <w:r w:rsidDel="00000000" w:rsidR="00000000" w:rsidRPr="00000000">
        <w:rPr>
          <w:rFonts w:ascii="Arial" w:cs="Arial" w:eastAsia="Arial" w:hAnsi="Arial"/>
          <w:b w:val="1"/>
          <w:i w:val="1"/>
          <w:color w:val="333333"/>
          <w:sz w:val="18"/>
          <w:szCs w:val="18"/>
          <w:rtl w:val="0"/>
        </w:rPr>
        <w:t xml:space="preserve">Drtit a rozpouštět hnojivové tablety ve vodě pro účely zálivky není vhodné.</w:t>
      </w:r>
      <w:r w:rsidDel="00000000" w:rsidR="00000000" w:rsidRPr="00000000">
        <w:rPr>
          <w:rtl w:val="0"/>
        </w:rPr>
      </w:r>
    </w:p>
    <w:p w:rsidR="00000000" w:rsidDel="00000000" w:rsidP="00000000" w:rsidRDefault="00000000" w:rsidRPr="00000000" w14:paraId="00000058">
      <w:pPr>
        <w:shd w:fill="f1f9fd" w:val="clear"/>
        <w:rPr>
          <w:rFonts w:ascii="Arial" w:cs="Arial" w:eastAsia="Arial" w:hAnsi="Arial"/>
          <w:color w:val="333333"/>
          <w:sz w:val="18"/>
          <w:szCs w:val="18"/>
        </w:rPr>
      </w:pPr>
      <w:r w:rsidDel="00000000" w:rsidR="00000000" w:rsidRPr="00000000">
        <w:rPr>
          <w:rtl w:val="0"/>
        </w:rPr>
      </w:r>
    </w:p>
    <w:p w:rsidR="00000000" w:rsidDel="00000000" w:rsidP="00000000" w:rsidRDefault="00000000" w:rsidRPr="00000000" w14:paraId="00000059">
      <w:pPr>
        <w:shd w:fill="f1f9fd" w:val="clear"/>
        <w:rPr>
          <w:rFonts w:ascii="Arial" w:cs="Arial" w:eastAsia="Arial" w:hAnsi="Arial"/>
          <w:color w:val="333333"/>
          <w:sz w:val="18"/>
          <w:szCs w:val="18"/>
        </w:rPr>
      </w:pPr>
      <w:r w:rsidDel="00000000" w:rsidR="00000000" w:rsidRPr="00000000">
        <w:rPr>
          <w:rFonts w:ascii="Arial" w:cs="Arial" w:eastAsia="Arial" w:hAnsi="Arial"/>
          <w:b w:val="1"/>
          <w:i w:val="1"/>
          <w:color w:val="333333"/>
          <w:sz w:val="18"/>
          <w:szCs w:val="18"/>
          <w:rtl w:val="0"/>
        </w:rPr>
        <w:t xml:space="preserve">Podmínky skladování: </w:t>
      </w:r>
      <w:r w:rsidDel="00000000" w:rsidR="00000000" w:rsidRPr="00000000">
        <w:rPr>
          <w:rFonts w:ascii="Arial" w:cs="Arial" w:eastAsia="Arial" w:hAnsi="Arial"/>
          <w:color w:val="333333"/>
          <w:sz w:val="18"/>
          <w:szCs w:val="18"/>
          <w:rtl w:val="0"/>
        </w:rPr>
        <w:t xml:space="preserve">Skladujte v uzavřených původních obalech v suchu a odděleně od potravin.</w:t>
      </w:r>
    </w:p>
    <w:p w:rsidR="00000000" w:rsidDel="00000000" w:rsidP="00000000" w:rsidRDefault="00000000" w:rsidRPr="00000000" w14:paraId="0000005A">
      <w:pPr>
        <w:shd w:fill="f1f9fd" w:val="clear"/>
        <w:rPr>
          <w:rFonts w:ascii="Arial" w:cs="Arial" w:eastAsia="Arial" w:hAnsi="Arial"/>
          <w:color w:val="333333"/>
          <w:sz w:val="18"/>
          <w:szCs w:val="18"/>
        </w:rPr>
      </w:pPr>
      <w:r w:rsidDel="00000000" w:rsidR="00000000" w:rsidRPr="00000000">
        <w:rPr>
          <w:rFonts w:ascii="Arial" w:cs="Arial" w:eastAsia="Arial" w:hAnsi="Arial"/>
          <w:b w:val="1"/>
          <w:i w:val="1"/>
          <w:color w:val="333333"/>
          <w:sz w:val="18"/>
          <w:szCs w:val="18"/>
          <w:rtl w:val="0"/>
        </w:rPr>
        <w:t xml:space="preserve">Pokyny pro bezpečnost a ochranu zdraví při práci:</w:t>
      </w:r>
      <w:r w:rsidDel="00000000" w:rsidR="00000000" w:rsidRPr="00000000">
        <w:rPr>
          <w:rFonts w:ascii="Arial" w:cs="Arial" w:eastAsia="Arial" w:hAnsi="Arial"/>
          <w:color w:val="333333"/>
          <w:sz w:val="18"/>
          <w:szCs w:val="18"/>
          <w:rtl w:val="0"/>
        </w:rPr>
        <w:br w:type="textWrapping"/>
        <w:t xml:space="preserve">Při práci s hnojivem nejíst, nepít a nekouřit. Hnojivé tablety vysušují pokožku. Při manipulaci s nimi se doporučuje používat ochranné rukavice. Po práci umýt ruce vodou a mýdlem a ošetřit vhodným reparačním krémem.</w:t>
        <w:br w:type="textWrapping"/>
      </w:r>
      <w:r w:rsidDel="00000000" w:rsidR="00000000" w:rsidRPr="00000000">
        <w:rPr>
          <w:rFonts w:ascii="Arial" w:cs="Arial" w:eastAsia="Arial" w:hAnsi="Arial"/>
          <w:b w:val="1"/>
          <w:i w:val="1"/>
          <w:color w:val="333333"/>
          <w:sz w:val="18"/>
          <w:szCs w:val="18"/>
          <w:rtl w:val="0"/>
        </w:rPr>
        <w:t xml:space="preserve">Chránit před dětmi!</w:t>
      </w:r>
      <w:r w:rsidDel="00000000" w:rsidR="00000000" w:rsidRPr="00000000">
        <w:rPr>
          <w:rFonts w:ascii="Arial" w:cs="Arial" w:eastAsia="Arial" w:hAnsi="Arial"/>
          <w:color w:val="333333"/>
          <w:sz w:val="18"/>
          <w:szCs w:val="18"/>
          <w:rtl w:val="0"/>
        </w:rPr>
        <w:br w:type="textWrapping"/>
      </w:r>
      <w:r w:rsidDel="00000000" w:rsidR="00000000" w:rsidRPr="00000000">
        <w:rPr>
          <w:rFonts w:ascii="Arial" w:cs="Arial" w:eastAsia="Arial" w:hAnsi="Arial"/>
          <w:b w:val="1"/>
          <w:i w:val="1"/>
          <w:color w:val="333333"/>
          <w:sz w:val="18"/>
          <w:szCs w:val="18"/>
          <w:rtl w:val="0"/>
        </w:rPr>
        <w:t xml:space="preserve">První pomoc:</w:t>
      </w:r>
      <w:r w:rsidDel="00000000" w:rsidR="00000000" w:rsidRPr="00000000">
        <w:rPr>
          <w:rFonts w:ascii="Arial" w:cs="Arial" w:eastAsia="Arial" w:hAnsi="Arial"/>
          <w:color w:val="333333"/>
          <w:sz w:val="18"/>
          <w:szCs w:val="18"/>
          <w:rtl w:val="0"/>
        </w:rPr>
        <w:t xml:space="preserve"> Při zasažení očí prachem z tablet: Důkladně vypláchněte oči proudem vody a vyhledejte lékaře. Při požití: Vypijte ihned 0,5 l vlažné vody a vyhledejte lékařskou pomoc. Při zasažení pokožky prachem z tablet: Opláchněte pokožku dostatečným množstvím vody.</w:t>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rPr>
      <w:rFonts w:ascii="Times New Roman" w:cs="Times New Roman" w:eastAsia="Times New Roman" w:hAnsi="Times New Roman"/>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10783A"/>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link w:val="Heading2Char"/>
    <w:uiPriority w:val="9"/>
    <w:qFormat w:val="1"/>
    <w:rsid w:val="0010783A"/>
    <w:pPr>
      <w:spacing w:after="100" w:afterAutospacing="1" w:before="100" w:beforeAutospacing="1"/>
      <w:outlineLvl w:val="1"/>
    </w:pPr>
    <w:rPr>
      <w:rFonts w:ascii="Times New Roman" w:cs="Times New Roman" w:eastAsia="Times New Roman" w:hAnsi="Times New Roman"/>
      <w:b w:val="1"/>
      <w:bCs w:val="1"/>
      <w:sz w:val="36"/>
      <w:szCs w:val="36"/>
      <w:lang w:eastAsia="cs-CZ"/>
    </w:rPr>
  </w:style>
  <w:style w:type="paragraph" w:styleId="Heading3">
    <w:name w:val="heading 3"/>
    <w:basedOn w:val="Normal"/>
    <w:link w:val="Heading3Char"/>
    <w:uiPriority w:val="9"/>
    <w:qFormat w:val="1"/>
    <w:rsid w:val="0010783A"/>
    <w:pPr>
      <w:spacing w:after="100" w:afterAutospacing="1" w:before="100" w:beforeAutospacing="1"/>
      <w:outlineLvl w:val="2"/>
    </w:pPr>
    <w:rPr>
      <w:rFonts w:ascii="Times New Roman" w:cs="Times New Roman" w:eastAsia="Times New Roman" w:hAnsi="Times New Roman"/>
      <w:b w:val="1"/>
      <w:bCs w:val="1"/>
      <w:sz w:val="27"/>
      <w:szCs w:val="27"/>
      <w:lang w:eastAsia="cs-CZ"/>
    </w:rPr>
  </w:style>
  <w:style w:type="paragraph" w:styleId="Heading4">
    <w:name w:val="heading 4"/>
    <w:basedOn w:val="Normal"/>
    <w:link w:val="Heading4Char"/>
    <w:uiPriority w:val="9"/>
    <w:qFormat w:val="1"/>
    <w:rsid w:val="0010783A"/>
    <w:pPr>
      <w:spacing w:after="100" w:afterAutospacing="1" w:before="100" w:beforeAutospacing="1"/>
      <w:outlineLvl w:val="3"/>
    </w:pPr>
    <w:rPr>
      <w:rFonts w:ascii="Times New Roman" w:cs="Times New Roman" w:eastAsia="Times New Roman" w:hAnsi="Times New Roman"/>
      <w:b w:val="1"/>
      <w:bCs w:val="1"/>
      <w:lang w:eastAsia="cs-CZ"/>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10783A"/>
    <w:rPr>
      <w:rFonts w:ascii="Times New Roman" w:cs="Times New Roman" w:eastAsia="Times New Roman" w:hAnsi="Times New Roman"/>
      <w:b w:val="1"/>
      <w:bCs w:val="1"/>
      <w:sz w:val="36"/>
      <w:szCs w:val="36"/>
      <w:lang w:eastAsia="cs-CZ"/>
    </w:rPr>
  </w:style>
  <w:style w:type="character" w:styleId="Heading3Char" w:customStyle="1">
    <w:name w:val="Heading 3 Char"/>
    <w:basedOn w:val="DefaultParagraphFont"/>
    <w:link w:val="Heading3"/>
    <w:uiPriority w:val="9"/>
    <w:rsid w:val="0010783A"/>
    <w:rPr>
      <w:rFonts w:ascii="Times New Roman" w:cs="Times New Roman" w:eastAsia="Times New Roman" w:hAnsi="Times New Roman"/>
      <w:b w:val="1"/>
      <w:bCs w:val="1"/>
      <w:sz w:val="27"/>
      <w:szCs w:val="27"/>
      <w:lang w:eastAsia="cs-CZ"/>
    </w:rPr>
  </w:style>
  <w:style w:type="character" w:styleId="Heading4Char" w:customStyle="1">
    <w:name w:val="Heading 4 Char"/>
    <w:basedOn w:val="DefaultParagraphFont"/>
    <w:link w:val="Heading4"/>
    <w:uiPriority w:val="9"/>
    <w:rsid w:val="0010783A"/>
    <w:rPr>
      <w:rFonts w:ascii="Times New Roman" w:cs="Times New Roman" w:eastAsia="Times New Roman" w:hAnsi="Times New Roman"/>
      <w:b w:val="1"/>
      <w:bCs w:val="1"/>
      <w:lang w:eastAsia="cs-CZ"/>
    </w:rPr>
  </w:style>
  <w:style w:type="paragraph" w:styleId="NormalWeb">
    <w:name w:val="Normal (Web)"/>
    <w:basedOn w:val="Normal"/>
    <w:uiPriority w:val="99"/>
    <w:semiHidden w:val="1"/>
    <w:unhideWhenUsed w:val="1"/>
    <w:rsid w:val="0010783A"/>
    <w:pPr>
      <w:spacing w:after="100" w:afterAutospacing="1" w:before="100" w:beforeAutospacing="1"/>
    </w:pPr>
    <w:rPr>
      <w:rFonts w:ascii="Times New Roman" w:cs="Times New Roman" w:eastAsia="Times New Roman" w:hAnsi="Times New Roman"/>
      <w:lang w:eastAsia="cs-CZ"/>
    </w:rPr>
  </w:style>
  <w:style w:type="character" w:styleId="Strong">
    <w:name w:val="Strong"/>
    <w:basedOn w:val="DefaultParagraphFont"/>
    <w:uiPriority w:val="22"/>
    <w:qFormat w:val="1"/>
    <w:rsid w:val="0010783A"/>
    <w:rPr>
      <w:b w:val="1"/>
      <w:bCs w:val="1"/>
    </w:rPr>
  </w:style>
  <w:style w:type="character" w:styleId="Emphasis">
    <w:name w:val="Emphasis"/>
    <w:basedOn w:val="DefaultParagraphFont"/>
    <w:uiPriority w:val="20"/>
    <w:qFormat w:val="1"/>
    <w:rsid w:val="0010783A"/>
    <w:rPr>
      <w:i w:val="1"/>
      <w:iCs w:val="1"/>
    </w:rPr>
  </w:style>
  <w:style w:type="character" w:styleId="Heading1Char" w:customStyle="1">
    <w:name w:val="Heading 1 Char"/>
    <w:basedOn w:val="DefaultParagraphFont"/>
    <w:link w:val="Heading1"/>
    <w:uiPriority w:val="9"/>
    <w:rsid w:val="0010783A"/>
    <w:rPr>
      <w:rFonts w:asciiTheme="majorHAnsi" w:cstheme="majorBidi" w:eastAsiaTheme="majorEastAsia" w:hAnsiTheme="majorHAnsi"/>
      <w:color w:val="2f5496" w:themeColor="accent1" w:themeShade="0000BF"/>
      <w:sz w:val="32"/>
      <w:szCs w:val="32"/>
    </w:rPr>
  </w:style>
  <w:style w:type="paragraph" w:styleId="Title">
    <w:name w:val="Title"/>
    <w:basedOn w:val="Normal"/>
    <w:next w:val="Normal"/>
    <w:link w:val="TitleChar"/>
    <w:uiPriority w:val="10"/>
    <w:qFormat w:val="1"/>
    <w:rsid w:val="0010783A"/>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0783A"/>
    <w:rPr>
      <w:rFonts w:asciiTheme="majorHAnsi" w:cstheme="majorBidi" w:eastAsiaTheme="majorEastAsia" w:hAnsiTheme="majorHAnsi"/>
      <w:spacing w:val="-10"/>
      <w:kern w:val="28"/>
      <w:sz w:val="56"/>
      <w:szCs w:val="56"/>
    </w:rPr>
  </w:style>
  <w:style w:type="paragraph" w:styleId="ListParagraph">
    <w:name w:val="List Paragraph"/>
    <w:basedOn w:val="Normal"/>
    <w:uiPriority w:val="34"/>
    <w:qFormat w:val="1"/>
    <w:rsid w:val="0010783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image" Target="media/image6.jpg"/><Relationship Id="rId12" Type="http://schemas.openxmlformats.org/officeDocument/2006/relationships/image" Target="media/image2.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Sw3oxGk6JdxU49mygsC3mIDYw==">CgMxLjA4AHIhMWxtYmxfM0NaeVpScHJJZGVDSktualRKdVV2Ykg0aFZH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2019-03-05T20:10:00Z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8a142f-f8e1-47f5-bdab-718b4b85da93_Enabled">
    <vt:lpwstr>true</vt:lpwstr>
  </property>
  <property fmtid="{D5CDD505-2E9C-101B-9397-08002B2CF9AE}" pid="3" name="MSIP_Label_6f8a142f-f8e1-47f5-bdab-718b4b85da93_SetDate">
    <vt:lpwstr>2023-03-05T17:10:31Z</vt:lpwstr>
  </property>
  <property fmtid="{D5CDD505-2E9C-101B-9397-08002B2CF9AE}" pid="4" name="MSIP_Label_6f8a142f-f8e1-47f5-bdab-718b4b85da93_Method">
    <vt:lpwstr>Standard</vt:lpwstr>
  </property>
  <property fmtid="{D5CDD505-2E9C-101B-9397-08002B2CF9AE}" pid="5" name="MSIP_Label_6f8a142f-f8e1-47f5-bdab-718b4b85da93_Name">
    <vt:lpwstr>SEC-C_ReLabel</vt:lpwstr>
  </property>
  <property fmtid="{D5CDD505-2E9C-101B-9397-08002B2CF9AE}" pid="6" name="MSIP_Label_6f8a142f-f8e1-47f5-bdab-718b4b85da93_SiteId">
    <vt:lpwstr>b287c0b1-6968-4dc8-9732-8d00f2760e89</vt:lpwstr>
  </property>
  <property fmtid="{D5CDD505-2E9C-101B-9397-08002B2CF9AE}" pid="7" name="MSIP_Label_6f8a142f-f8e1-47f5-bdab-718b4b85da93_ActionId">
    <vt:lpwstr>ee1f3e1a-9b59-4eb8-baa9-8e6c0b1b82e7</vt:lpwstr>
  </property>
  <property fmtid="{D5CDD505-2E9C-101B-9397-08002B2CF9AE}" pid="8" name="MSIP_Label_6f8a142f-f8e1-47f5-bdab-718b4b85da93_ContentBits">
    <vt:lpwstr>0</vt:lpwstr>
  </property>
</Properties>
</file>